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FC6" w:rsidRPr="003B30B9" w:rsidRDefault="008E4FC6" w:rsidP="008E4FC6">
      <w:pPr>
        <w:jc w:val="left"/>
        <w:rPr>
          <w:rFonts w:cs="Arial"/>
          <w:bCs/>
          <w:lang w:val="en-GB"/>
        </w:rPr>
      </w:pPr>
      <w:r w:rsidRPr="003B30B9">
        <w:rPr>
          <w:rFonts w:cs="Arial"/>
          <w:noProof/>
          <w:sz w:val="20"/>
          <w:lang w:val="en-GB"/>
        </w:rPr>
        <w:t xml:space="preserve">                  </w:t>
      </w:r>
      <w:r w:rsidRPr="003B30B9">
        <w:rPr>
          <w:rFonts w:cs="Arial"/>
          <w:noProof/>
          <w:sz w:val="20"/>
          <w:lang w:eastAsia="hr-HR"/>
        </w:rPr>
        <w:drawing>
          <wp:inline distT="0" distB="0" distL="0" distR="0" wp14:anchorId="4475C665" wp14:editId="7A475FF7">
            <wp:extent cx="466725" cy="800100"/>
            <wp:effectExtent l="0" t="0" r="9525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11" t="-20859" r="-4411" b="-20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FC6" w:rsidRPr="003B30B9" w:rsidRDefault="008E4FC6" w:rsidP="008E4FC6">
      <w:pPr>
        <w:jc w:val="left"/>
        <w:rPr>
          <w:rFonts w:cs="Arial"/>
          <w:bCs/>
          <w:lang w:val="en-GB"/>
        </w:rPr>
      </w:pPr>
      <w:r w:rsidRPr="003B30B9">
        <w:rPr>
          <w:rFonts w:cs="Arial"/>
          <w:bCs/>
          <w:lang w:val="en-GB"/>
        </w:rPr>
        <w:t>REPUBLIKA HRVATSKA</w:t>
      </w:r>
    </w:p>
    <w:p w:rsidR="008E4FC6" w:rsidRPr="003B30B9" w:rsidRDefault="008E4FC6" w:rsidP="008E4FC6">
      <w:pPr>
        <w:pBdr>
          <w:bottom w:val="single" w:sz="4" w:space="1" w:color="002060"/>
        </w:pBdr>
        <w:rPr>
          <w:rFonts w:cs="Arial"/>
          <w:bCs/>
          <w:szCs w:val="20"/>
          <w:lang w:val="en-GB"/>
        </w:rPr>
      </w:pPr>
      <w:r w:rsidRPr="003B30B9">
        <w:rPr>
          <w:rFonts w:cs="Arial"/>
          <w:bCs/>
          <w:szCs w:val="20"/>
          <w:lang w:val="en-GB"/>
        </w:rPr>
        <w:t>DRŽAVNI URED ZA REVIZIJU</w:t>
      </w:r>
    </w:p>
    <w:p w:rsidR="003B30B9" w:rsidRPr="003B30B9" w:rsidRDefault="003B30B9" w:rsidP="003B30B9">
      <w:pPr>
        <w:jc w:val="left"/>
        <w:rPr>
          <w:rFonts w:ascii="Times New Roman" w:eastAsia="Times New Roman" w:hAnsi="Times New Roman" w:cs="Times New Roman"/>
          <w:szCs w:val="24"/>
          <w:lang w:val="en-GB" w:eastAsia="hr-HR"/>
        </w:rPr>
      </w:pPr>
    </w:p>
    <w:p w:rsidR="00261323" w:rsidRPr="00261323" w:rsidRDefault="00AA59BE" w:rsidP="00261323">
      <w:pPr>
        <w:shd w:val="clear" w:color="auto" w:fill="FFFFFF"/>
        <w:rPr>
          <w:rFonts w:eastAsia="Times New Roman" w:cs="Arial"/>
          <w:color w:val="000000"/>
          <w:spacing w:val="-2"/>
          <w:szCs w:val="24"/>
          <w:lang w:val="en-GB" w:eastAsia="hr-HR"/>
        </w:rPr>
      </w:pPr>
      <w:r>
        <w:rPr>
          <w:rFonts w:eastAsia="Times New Roman" w:cs="Arial"/>
          <w:color w:val="000000"/>
          <w:spacing w:val="-2"/>
          <w:szCs w:val="24"/>
          <w:lang w:val="en-GB" w:eastAsia="hr-HR"/>
        </w:rPr>
        <w:tab/>
      </w:r>
    </w:p>
    <w:p w:rsidR="00261323" w:rsidRDefault="00261323" w:rsidP="00261323">
      <w:pPr>
        <w:shd w:val="clear" w:color="auto" w:fill="FFFFFF"/>
        <w:rPr>
          <w:rFonts w:eastAsia="Times New Roman" w:cs="Arial"/>
          <w:color w:val="000000"/>
          <w:spacing w:val="-2"/>
          <w:szCs w:val="24"/>
          <w:lang w:val="en-GB" w:eastAsia="hr-HR"/>
        </w:rPr>
      </w:pPr>
      <w:r>
        <w:rPr>
          <w:rFonts w:eastAsia="Times New Roman" w:cs="Arial"/>
          <w:color w:val="000000"/>
          <w:spacing w:val="-2"/>
          <w:szCs w:val="24"/>
          <w:lang w:val="en-GB" w:eastAsia="hr-HR"/>
        </w:rPr>
        <w:tab/>
        <w:t>I</w:t>
      </w:r>
      <w:r w:rsidRPr="00261323">
        <w:rPr>
          <w:rFonts w:eastAsia="Times New Roman" w:cs="Arial"/>
          <w:color w:val="000000"/>
          <w:spacing w:val="-2"/>
          <w:szCs w:val="24"/>
          <w:lang w:val="en-GB" w:eastAsia="hr-HR"/>
        </w:rPr>
        <w:t xml:space="preserve">n accordance with the provisions of </w:t>
      </w:r>
      <w:r w:rsidR="003A6F16">
        <w:rPr>
          <w:rFonts w:eastAsia="Times New Roman" w:cs="Arial"/>
          <w:color w:val="000000"/>
          <w:spacing w:val="-2"/>
          <w:szCs w:val="24"/>
          <w:lang w:val="en-GB" w:eastAsia="hr-HR"/>
        </w:rPr>
        <w:t xml:space="preserve">the </w:t>
      </w:r>
      <w:r w:rsidRPr="00261323">
        <w:rPr>
          <w:rFonts w:eastAsia="Times New Roman" w:cs="Arial"/>
          <w:color w:val="000000"/>
          <w:spacing w:val="-2"/>
          <w:szCs w:val="24"/>
          <w:lang w:val="en-GB" w:eastAsia="hr-HR"/>
        </w:rPr>
        <w:t>Article 16 of the State Audit Office</w:t>
      </w:r>
      <w:r>
        <w:rPr>
          <w:rFonts w:eastAsia="Times New Roman" w:cs="Arial"/>
          <w:color w:val="000000"/>
          <w:spacing w:val="-2"/>
          <w:szCs w:val="24"/>
          <w:lang w:val="en-GB" w:eastAsia="hr-HR"/>
        </w:rPr>
        <w:t xml:space="preserve"> Act </w:t>
      </w:r>
      <w:r w:rsidRPr="003B30B9">
        <w:rPr>
          <w:rFonts w:eastAsia="Times New Roman" w:cs="Arial"/>
          <w:color w:val="000000"/>
          <w:spacing w:val="-2"/>
          <w:szCs w:val="24"/>
          <w:lang w:val="en-GB" w:eastAsia="hr-HR"/>
        </w:rPr>
        <w:t>(Official Gazette </w:t>
      </w:r>
      <w:r>
        <w:rPr>
          <w:rFonts w:eastAsia="Times New Roman" w:cs="Arial"/>
          <w:color w:val="000000"/>
          <w:spacing w:val="-2"/>
          <w:szCs w:val="24"/>
          <w:lang w:val="en-GB" w:eastAsia="hr-HR"/>
        </w:rPr>
        <w:t>25/19)</w:t>
      </w:r>
      <w:r w:rsidRPr="00261323">
        <w:rPr>
          <w:rFonts w:eastAsia="Times New Roman" w:cs="Arial"/>
          <w:color w:val="000000"/>
          <w:spacing w:val="-2"/>
          <w:szCs w:val="24"/>
          <w:lang w:val="en-GB" w:eastAsia="hr-HR"/>
        </w:rPr>
        <w:t xml:space="preserve">, the Auditor </w:t>
      </w:r>
      <w:r>
        <w:rPr>
          <w:rFonts w:eastAsia="Times New Roman" w:cs="Arial"/>
          <w:color w:val="000000"/>
          <w:spacing w:val="-2"/>
          <w:szCs w:val="24"/>
          <w:lang w:val="en-GB" w:eastAsia="hr-HR"/>
        </w:rPr>
        <w:t xml:space="preserve">General </w:t>
      </w:r>
      <w:r w:rsidRPr="00261323">
        <w:rPr>
          <w:rFonts w:eastAsia="Times New Roman" w:cs="Arial"/>
          <w:color w:val="000000"/>
          <w:spacing w:val="-2"/>
          <w:szCs w:val="24"/>
          <w:lang w:val="en-GB" w:eastAsia="hr-HR"/>
        </w:rPr>
        <w:t xml:space="preserve">adopted </w:t>
      </w:r>
      <w:r w:rsidR="003A6F16">
        <w:rPr>
          <w:rFonts w:eastAsia="Times New Roman" w:cs="Arial"/>
          <w:color w:val="000000"/>
          <w:spacing w:val="-2"/>
          <w:szCs w:val="24"/>
          <w:lang w:val="en-GB" w:eastAsia="hr-HR"/>
        </w:rPr>
        <w:t>the A</w:t>
      </w:r>
      <w:r w:rsidRPr="00261323">
        <w:rPr>
          <w:rFonts w:eastAsia="Times New Roman" w:cs="Arial"/>
          <w:color w:val="000000"/>
          <w:spacing w:val="-2"/>
          <w:szCs w:val="24"/>
          <w:lang w:val="en-GB" w:eastAsia="hr-HR"/>
        </w:rPr>
        <w:t>mendments to the Program and Work Plan of the State Audit Office for 2020.</w:t>
      </w:r>
    </w:p>
    <w:p w:rsidR="00AA59BE" w:rsidRPr="003B30B9" w:rsidRDefault="00AA59BE" w:rsidP="00AA59BE">
      <w:pPr>
        <w:shd w:val="clear" w:color="auto" w:fill="FFFFFF"/>
        <w:rPr>
          <w:rFonts w:eastAsia="Times New Roman" w:cs="Arial"/>
          <w:color w:val="000000"/>
          <w:spacing w:val="-2"/>
          <w:szCs w:val="24"/>
          <w:lang w:val="en-GB" w:eastAsia="hr-HR"/>
        </w:rPr>
      </w:pPr>
    </w:p>
    <w:p w:rsidR="00AA59BE" w:rsidRPr="003B30B9" w:rsidRDefault="00AA59BE" w:rsidP="00AA59BE">
      <w:pPr>
        <w:shd w:val="clear" w:color="auto" w:fill="FFFFFF"/>
        <w:rPr>
          <w:rFonts w:eastAsia="Times New Roman" w:cs="Arial"/>
          <w:color w:val="000000"/>
          <w:spacing w:val="-2"/>
          <w:szCs w:val="24"/>
          <w:lang w:val="en-GB" w:eastAsia="hr-HR"/>
        </w:rPr>
      </w:pPr>
      <w:r>
        <w:rPr>
          <w:rFonts w:eastAsia="Times New Roman" w:cs="Arial"/>
          <w:color w:val="000000"/>
          <w:spacing w:val="-2"/>
          <w:szCs w:val="24"/>
          <w:lang w:val="en-GB" w:eastAsia="hr-HR"/>
        </w:rPr>
        <w:tab/>
      </w:r>
      <w:r w:rsidR="003A6F16">
        <w:rPr>
          <w:rFonts w:eastAsia="Times New Roman" w:cs="Arial"/>
          <w:color w:val="000000"/>
          <w:spacing w:val="-2"/>
          <w:szCs w:val="24"/>
          <w:lang w:val="en-GB" w:eastAsia="hr-HR"/>
        </w:rPr>
        <w:t>An integral part of the A</w:t>
      </w:r>
      <w:r w:rsidRPr="00AA59BE">
        <w:rPr>
          <w:rFonts w:eastAsia="Times New Roman" w:cs="Arial"/>
          <w:color w:val="000000"/>
          <w:spacing w:val="-2"/>
          <w:szCs w:val="24"/>
          <w:lang w:val="en-GB" w:eastAsia="hr-HR"/>
        </w:rPr>
        <w:t>mendments to the Program and Work Plan of the State Audit Office for 2020 are the Amendments to the Audit Plan for 2020, which are given below.</w:t>
      </w:r>
      <w:r>
        <w:rPr>
          <w:rFonts w:eastAsia="Times New Roman" w:cs="Arial"/>
          <w:color w:val="000000"/>
          <w:spacing w:val="-2"/>
          <w:szCs w:val="24"/>
          <w:lang w:val="en-GB" w:eastAsia="hr-HR"/>
        </w:rPr>
        <w:t xml:space="preserve"> </w:t>
      </w:r>
    </w:p>
    <w:p w:rsidR="003B30B9" w:rsidRPr="003B30B9" w:rsidRDefault="003B30B9" w:rsidP="00AA59BE">
      <w:pPr>
        <w:shd w:val="clear" w:color="auto" w:fill="FFFFFF"/>
        <w:jc w:val="left"/>
        <w:rPr>
          <w:rFonts w:eastAsia="Times New Roman" w:cs="Arial"/>
          <w:color w:val="000000"/>
          <w:spacing w:val="-2"/>
          <w:szCs w:val="24"/>
          <w:lang w:val="en-GB" w:eastAsia="hr-HR"/>
        </w:rPr>
      </w:pPr>
    </w:p>
    <w:p w:rsidR="00490E86" w:rsidRPr="003B30B9" w:rsidRDefault="00490E86" w:rsidP="00114957">
      <w:pPr>
        <w:pStyle w:val="Default"/>
        <w:jc w:val="center"/>
        <w:rPr>
          <w:rFonts w:asciiTheme="minorHAnsi" w:hAnsiTheme="minorHAnsi"/>
          <w:b/>
          <w:bCs/>
          <w:color w:val="auto"/>
          <w:lang w:val="en-GB"/>
        </w:rPr>
      </w:pPr>
    </w:p>
    <w:p w:rsidR="008E4FC6" w:rsidRPr="003B30B9" w:rsidRDefault="008E4FC6" w:rsidP="00114957">
      <w:pPr>
        <w:pStyle w:val="Default"/>
        <w:jc w:val="center"/>
        <w:rPr>
          <w:rFonts w:asciiTheme="minorHAnsi" w:hAnsiTheme="minorHAnsi"/>
          <w:b/>
          <w:bCs/>
          <w:color w:val="auto"/>
          <w:lang w:val="en-GB"/>
        </w:rPr>
      </w:pPr>
    </w:p>
    <w:p w:rsidR="00F05B78" w:rsidRPr="003B30B9" w:rsidRDefault="003B30B9" w:rsidP="00F05B78">
      <w:pPr>
        <w:pStyle w:val="Default"/>
        <w:jc w:val="center"/>
        <w:rPr>
          <w:rFonts w:ascii="Arial" w:hAnsi="Arial" w:cs="Arial"/>
          <w:b/>
          <w:bCs/>
          <w:color w:val="auto"/>
          <w:lang w:val="en-GB"/>
        </w:rPr>
      </w:pPr>
      <w:r w:rsidRPr="003B30B9">
        <w:rPr>
          <w:rFonts w:ascii="Arial" w:hAnsi="Arial" w:cs="Arial"/>
          <w:b/>
          <w:bCs/>
          <w:color w:val="auto"/>
          <w:lang w:val="en-GB"/>
        </w:rPr>
        <w:t>AMENDMENTS TO THE</w:t>
      </w:r>
      <w:r w:rsidR="00261323">
        <w:rPr>
          <w:rFonts w:ascii="Arial" w:hAnsi="Arial" w:cs="Arial"/>
          <w:b/>
          <w:bCs/>
          <w:color w:val="auto"/>
          <w:lang w:val="en-GB"/>
        </w:rPr>
        <w:t xml:space="preserve"> AUDIT </w:t>
      </w:r>
      <w:r w:rsidRPr="003B30B9">
        <w:rPr>
          <w:rFonts w:ascii="Arial" w:hAnsi="Arial" w:cs="Arial"/>
          <w:b/>
          <w:bCs/>
          <w:color w:val="auto"/>
          <w:lang w:val="en-GB"/>
        </w:rPr>
        <w:t>PLAN FOR 2020</w:t>
      </w:r>
    </w:p>
    <w:p w:rsidR="003B30B9" w:rsidRPr="003B30B9" w:rsidRDefault="003B30B9" w:rsidP="00F05B78">
      <w:pPr>
        <w:pStyle w:val="Default"/>
        <w:jc w:val="center"/>
        <w:rPr>
          <w:rFonts w:asciiTheme="minorHAnsi" w:hAnsiTheme="minorHAnsi"/>
          <w:bCs/>
          <w:color w:val="auto"/>
          <w:sz w:val="22"/>
          <w:szCs w:val="22"/>
          <w:lang w:val="en-GB"/>
        </w:rPr>
      </w:pPr>
    </w:p>
    <w:tbl>
      <w:tblPr>
        <w:tblW w:w="948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7"/>
        <w:gridCol w:w="6564"/>
        <w:gridCol w:w="1861"/>
      </w:tblGrid>
      <w:tr w:rsidR="00CA6F21" w:rsidRPr="003B30B9" w:rsidTr="00595FAA">
        <w:trPr>
          <w:trHeight w:val="245"/>
          <w:jc w:val="center"/>
        </w:trPr>
        <w:tc>
          <w:tcPr>
            <w:tcW w:w="1057" w:type="dxa"/>
            <w:shd w:val="clear" w:color="auto" w:fill="D9D9D9" w:themeFill="background1" w:themeFillShade="D9"/>
            <w:vAlign w:val="center"/>
          </w:tcPr>
          <w:p w:rsidR="00EF45B8" w:rsidRPr="003B30B9" w:rsidRDefault="003B30B9" w:rsidP="00F05B78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Ordinal number</w:t>
            </w:r>
          </w:p>
        </w:tc>
        <w:tc>
          <w:tcPr>
            <w:tcW w:w="6564" w:type="dxa"/>
            <w:shd w:val="clear" w:color="auto" w:fill="D9D9D9" w:themeFill="background1" w:themeFillShade="D9"/>
            <w:vAlign w:val="center"/>
          </w:tcPr>
          <w:p w:rsidR="00EF45B8" w:rsidRPr="003B30B9" w:rsidRDefault="003B30B9" w:rsidP="00F05B78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Type of audit and auditees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:rsidR="00EF45B8" w:rsidRPr="003B30B9" w:rsidRDefault="003B30B9" w:rsidP="00EF45B8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Number of audits</w:t>
            </w:r>
          </w:p>
        </w:tc>
      </w:tr>
      <w:tr w:rsidR="00CA6F21" w:rsidRPr="003B30B9" w:rsidTr="00595FAA">
        <w:trPr>
          <w:trHeight w:val="89"/>
          <w:jc w:val="center"/>
        </w:trPr>
        <w:tc>
          <w:tcPr>
            <w:tcW w:w="1057" w:type="dxa"/>
          </w:tcPr>
          <w:p w:rsidR="00EF45B8" w:rsidRPr="003B30B9" w:rsidRDefault="00EF45B8" w:rsidP="00F05B78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6564" w:type="dxa"/>
          </w:tcPr>
          <w:p w:rsidR="00EF45B8" w:rsidRPr="003B30B9" w:rsidRDefault="00EF45B8" w:rsidP="00F05B78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1</w:t>
            </w:r>
            <w:r w:rsidR="00BB5DED"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861" w:type="dxa"/>
          </w:tcPr>
          <w:p w:rsidR="00EF45B8" w:rsidRPr="003B30B9" w:rsidRDefault="007A76BF" w:rsidP="00BB5DED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   </w:t>
            </w:r>
            <w:r w:rsidR="007704B2"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2</w:t>
            </w:r>
          </w:p>
        </w:tc>
      </w:tr>
      <w:tr w:rsidR="00CA6F21" w:rsidRPr="003B30B9" w:rsidTr="00595FAA">
        <w:trPr>
          <w:trHeight w:val="108"/>
          <w:jc w:val="center"/>
        </w:trPr>
        <w:tc>
          <w:tcPr>
            <w:tcW w:w="1057" w:type="dxa"/>
            <w:shd w:val="clear" w:color="auto" w:fill="D9D9D9" w:themeFill="background1" w:themeFillShade="D9"/>
          </w:tcPr>
          <w:p w:rsidR="00EF45B8" w:rsidRPr="003B30B9" w:rsidRDefault="00EF45B8" w:rsidP="00F05B78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I.</w:t>
            </w:r>
          </w:p>
        </w:tc>
        <w:tc>
          <w:tcPr>
            <w:tcW w:w="6564" w:type="dxa"/>
            <w:shd w:val="clear" w:color="auto" w:fill="D9D9D9" w:themeFill="background1" w:themeFillShade="D9"/>
          </w:tcPr>
          <w:p w:rsidR="00EF45B8" w:rsidRPr="003B30B9" w:rsidRDefault="003B30B9" w:rsidP="00623550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Financial audit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:rsidR="00EF45B8" w:rsidRPr="003B30B9" w:rsidRDefault="00BB5DED" w:rsidP="00BB5DE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            </w:t>
            </w:r>
            <w:r w:rsidR="007A76BF"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</w:t>
            </w:r>
            <w:r w:rsidR="00190709"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233</w:t>
            </w:r>
          </w:p>
        </w:tc>
      </w:tr>
      <w:tr w:rsidR="00CA6F21" w:rsidRPr="003B30B9" w:rsidTr="00595FAA">
        <w:trPr>
          <w:trHeight w:val="108"/>
          <w:jc w:val="center"/>
        </w:trPr>
        <w:tc>
          <w:tcPr>
            <w:tcW w:w="1057" w:type="dxa"/>
            <w:vAlign w:val="center"/>
          </w:tcPr>
          <w:p w:rsidR="00EF45B8" w:rsidRPr="003B30B9" w:rsidRDefault="00EF45B8" w:rsidP="007A76BF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1.</w:t>
            </w:r>
          </w:p>
        </w:tc>
        <w:tc>
          <w:tcPr>
            <w:tcW w:w="6564" w:type="dxa"/>
          </w:tcPr>
          <w:p w:rsidR="00EF45B8" w:rsidRPr="003B30B9" w:rsidRDefault="003B30B9" w:rsidP="00623550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State Budget and Budget users</w:t>
            </w:r>
            <w:r w:rsidR="00EF45B8"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861" w:type="dxa"/>
            <w:vAlign w:val="center"/>
          </w:tcPr>
          <w:p w:rsidR="00EF45B8" w:rsidRPr="003B30B9" w:rsidRDefault="00BB5DED" w:rsidP="00BB5DE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              </w:t>
            </w:r>
            <w:r w:rsidR="007A76BF"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</w:t>
            </w:r>
            <w:r w:rsidR="00190709"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16</w:t>
            </w:r>
          </w:p>
        </w:tc>
      </w:tr>
      <w:tr w:rsidR="00CA6F21" w:rsidRPr="003B30B9" w:rsidTr="00595FAA">
        <w:trPr>
          <w:trHeight w:val="108"/>
          <w:jc w:val="center"/>
        </w:trPr>
        <w:tc>
          <w:tcPr>
            <w:tcW w:w="1057" w:type="dxa"/>
            <w:vAlign w:val="center"/>
          </w:tcPr>
          <w:p w:rsidR="007704B2" w:rsidRPr="003B30B9" w:rsidRDefault="007704B2" w:rsidP="007A76BF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2.</w:t>
            </w:r>
          </w:p>
        </w:tc>
        <w:tc>
          <w:tcPr>
            <w:tcW w:w="6564" w:type="dxa"/>
          </w:tcPr>
          <w:p w:rsidR="007704B2" w:rsidRPr="003B30B9" w:rsidRDefault="003B30B9" w:rsidP="00623550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Extra-budgetary users of the state budget</w:t>
            </w:r>
          </w:p>
        </w:tc>
        <w:tc>
          <w:tcPr>
            <w:tcW w:w="1861" w:type="dxa"/>
            <w:vAlign w:val="center"/>
          </w:tcPr>
          <w:p w:rsidR="007704B2" w:rsidRPr="003B30B9" w:rsidRDefault="00BB5DED" w:rsidP="000D2B50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</w:t>
            </w:r>
            <w:r w:rsidR="007A76BF"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  </w:t>
            </w:r>
            <w:r w:rsidR="00EE6749"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</w:t>
            </w:r>
            <w:r w:rsidR="00190709"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2</w:t>
            </w:r>
          </w:p>
        </w:tc>
      </w:tr>
      <w:tr w:rsidR="00CA6F21" w:rsidRPr="003B30B9" w:rsidTr="00595FAA">
        <w:trPr>
          <w:trHeight w:val="245"/>
          <w:jc w:val="center"/>
        </w:trPr>
        <w:tc>
          <w:tcPr>
            <w:tcW w:w="1057" w:type="dxa"/>
            <w:vAlign w:val="center"/>
          </w:tcPr>
          <w:p w:rsidR="007704B2" w:rsidRPr="003B30B9" w:rsidRDefault="007704B2" w:rsidP="007A76BF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3.</w:t>
            </w:r>
          </w:p>
        </w:tc>
        <w:tc>
          <w:tcPr>
            <w:tcW w:w="6564" w:type="dxa"/>
            <w:vAlign w:val="center"/>
          </w:tcPr>
          <w:p w:rsidR="007704B2" w:rsidRPr="003B30B9" w:rsidRDefault="003B30B9" w:rsidP="000D2B50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Local and regional self-government units and users of local budgets</w:t>
            </w:r>
          </w:p>
        </w:tc>
        <w:tc>
          <w:tcPr>
            <w:tcW w:w="1861" w:type="dxa"/>
            <w:vAlign w:val="center"/>
          </w:tcPr>
          <w:p w:rsidR="007704B2" w:rsidRPr="003B30B9" w:rsidRDefault="00BB5DED" w:rsidP="00BB5DE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             </w:t>
            </w:r>
            <w:r w:rsidR="007A76BF"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</w:t>
            </w: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</w:t>
            </w:r>
            <w:r w:rsidR="00190709"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65</w:t>
            </w:r>
          </w:p>
        </w:tc>
      </w:tr>
      <w:tr w:rsidR="00CA6F21" w:rsidRPr="003B30B9" w:rsidTr="00595FAA">
        <w:trPr>
          <w:trHeight w:val="108"/>
          <w:jc w:val="center"/>
        </w:trPr>
        <w:tc>
          <w:tcPr>
            <w:tcW w:w="1057" w:type="dxa"/>
            <w:vAlign w:val="center"/>
          </w:tcPr>
          <w:p w:rsidR="007704B2" w:rsidRPr="003B30B9" w:rsidRDefault="007704B2" w:rsidP="007A76BF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4.</w:t>
            </w:r>
          </w:p>
        </w:tc>
        <w:tc>
          <w:tcPr>
            <w:tcW w:w="6564" w:type="dxa"/>
          </w:tcPr>
          <w:p w:rsidR="007704B2" w:rsidRPr="003B30B9" w:rsidRDefault="003B30B9" w:rsidP="003B30B9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Homes for the elderly and infirm</w:t>
            </w:r>
          </w:p>
        </w:tc>
        <w:tc>
          <w:tcPr>
            <w:tcW w:w="1861" w:type="dxa"/>
            <w:vAlign w:val="center"/>
          </w:tcPr>
          <w:p w:rsidR="007704B2" w:rsidRPr="003B30B9" w:rsidRDefault="007A76BF" w:rsidP="000D2B50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  </w:t>
            </w:r>
            <w:r w:rsidR="00190709"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31</w:t>
            </w:r>
          </w:p>
        </w:tc>
      </w:tr>
      <w:tr w:rsidR="00CA6F21" w:rsidRPr="003B30B9" w:rsidTr="00595FAA">
        <w:trPr>
          <w:trHeight w:val="108"/>
          <w:jc w:val="center"/>
        </w:trPr>
        <w:tc>
          <w:tcPr>
            <w:tcW w:w="1057" w:type="dxa"/>
            <w:vAlign w:val="center"/>
          </w:tcPr>
          <w:p w:rsidR="007704B2" w:rsidRPr="003B30B9" w:rsidRDefault="007704B2" w:rsidP="007A76BF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5.</w:t>
            </w:r>
          </w:p>
        </w:tc>
        <w:tc>
          <w:tcPr>
            <w:tcW w:w="6564" w:type="dxa"/>
          </w:tcPr>
          <w:p w:rsidR="007704B2" w:rsidRPr="003B30B9" w:rsidRDefault="001B179E" w:rsidP="00623550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State level companies</w:t>
            </w:r>
          </w:p>
        </w:tc>
        <w:tc>
          <w:tcPr>
            <w:tcW w:w="1861" w:type="dxa"/>
            <w:vAlign w:val="center"/>
          </w:tcPr>
          <w:p w:rsidR="007704B2" w:rsidRPr="003B30B9" w:rsidRDefault="00BB5DED" w:rsidP="000D2B50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</w:t>
            </w:r>
            <w:r w:rsidR="007A76BF"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 </w:t>
            </w:r>
            <w:r w:rsidR="00EE6749"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</w:t>
            </w:r>
            <w:r w:rsidR="00190709"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6</w:t>
            </w:r>
          </w:p>
        </w:tc>
      </w:tr>
      <w:tr w:rsidR="00CA6F21" w:rsidRPr="003B30B9" w:rsidTr="00595FAA">
        <w:trPr>
          <w:trHeight w:val="108"/>
          <w:jc w:val="center"/>
        </w:trPr>
        <w:tc>
          <w:tcPr>
            <w:tcW w:w="1057" w:type="dxa"/>
            <w:vAlign w:val="center"/>
          </w:tcPr>
          <w:p w:rsidR="007704B2" w:rsidRPr="003B30B9" w:rsidRDefault="007704B2" w:rsidP="007A76BF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6.</w:t>
            </w:r>
          </w:p>
        </w:tc>
        <w:tc>
          <w:tcPr>
            <w:tcW w:w="6564" w:type="dxa"/>
          </w:tcPr>
          <w:p w:rsidR="007704B2" w:rsidRPr="003B30B9" w:rsidRDefault="001B179E" w:rsidP="00623550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Local level companies</w:t>
            </w:r>
          </w:p>
        </w:tc>
        <w:tc>
          <w:tcPr>
            <w:tcW w:w="1861" w:type="dxa"/>
            <w:vAlign w:val="center"/>
          </w:tcPr>
          <w:p w:rsidR="007704B2" w:rsidRPr="003B30B9" w:rsidRDefault="00BB5DED" w:rsidP="00BB5DE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              </w:t>
            </w:r>
            <w:r w:rsidR="00190709"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28</w:t>
            </w:r>
          </w:p>
        </w:tc>
      </w:tr>
      <w:tr w:rsidR="00CA6F21" w:rsidRPr="003B30B9" w:rsidTr="00595FAA">
        <w:trPr>
          <w:trHeight w:val="108"/>
          <w:jc w:val="center"/>
        </w:trPr>
        <w:tc>
          <w:tcPr>
            <w:tcW w:w="1057" w:type="dxa"/>
            <w:vAlign w:val="center"/>
          </w:tcPr>
          <w:p w:rsidR="007704B2" w:rsidRPr="003B30B9" w:rsidRDefault="007704B2" w:rsidP="007A76BF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7.</w:t>
            </w:r>
          </w:p>
        </w:tc>
        <w:tc>
          <w:tcPr>
            <w:tcW w:w="6564" w:type="dxa"/>
          </w:tcPr>
          <w:p w:rsidR="007704B2" w:rsidRPr="003B30B9" w:rsidRDefault="001B179E" w:rsidP="00623550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Tourist boards</w:t>
            </w:r>
          </w:p>
        </w:tc>
        <w:tc>
          <w:tcPr>
            <w:tcW w:w="1861" w:type="dxa"/>
            <w:vAlign w:val="center"/>
          </w:tcPr>
          <w:p w:rsidR="007704B2" w:rsidRPr="003B30B9" w:rsidRDefault="00BB5DED" w:rsidP="00BB5DE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              </w:t>
            </w:r>
            <w:r w:rsidR="00190709"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32</w:t>
            </w:r>
          </w:p>
        </w:tc>
      </w:tr>
      <w:tr w:rsidR="00CA6F21" w:rsidRPr="003B30B9" w:rsidTr="00595FAA">
        <w:trPr>
          <w:trHeight w:val="108"/>
          <w:jc w:val="center"/>
        </w:trPr>
        <w:tc>
          <w:tcPr>
            <w:tcW w:w="1057" w:type="dxa"/>
            <w:vAlign w:val="center"/>
          </w:tcPr>
          <w:p w:rsidR="007704B2" w:rsidRPr="003B30B9" w:rsidRDefault="007704B2" w:rsidP="007A76BF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8.</w:t>
            </w:r>
          </w:p>
        </w:tc>
        <w:tc>
          <w:tcPr>
            <w:tcW w:w="6564" w:type="dxa"/>
          </w:tcPr>
          <w:p w:rsidR="007704B2" w:rsidRPr="003B30B9" w:rsidRDefault="001B179E" w:rsidP="00623550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Other </w:t>
            </w:r>
            <w:r w:rsidR="00595FAA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non-profit</w:t>
            </w:r>
            <w:r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organisations</w:t>
            </w:r>
          </w:p>
        </w:tc>
        <w:tc>
          <w:tcPr>
            <w:tcW w:w="1861" w:type="dxa"/>
            <w:vAlign w:val="center"/>
          </w:tcPr>
          <w:p w:rsidR="007704B2" w:rsidRPr="003B30B9" w:rsidRDefault="00BB5DED" w:rsidP="00BB5DE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                </w:t>
            </w:r>
            <w:r w:rsidR="00190709"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3</w:t>
            </w:r>
          </w:p>
        </w:tc>
      </w:tr>
      <w:tr w:rsidR="00CA6F21" w:rsidRPr="003B30B9" w:rsidTr="00595FAA">
        <w:trPr>
          <w:trHeight w:val="108"/>
          <w:jc w:val="center"/>
        </w:trPr>
        <w:tc>
          <w:tcPr>
            <w:tcW w:w="1057" w:type="dxa"/>
            <w:vAlign w:val="center"/>
          </w:tcPr>
          <w:p w:rsidR="007704B2" w:rsidRPr="003B30B9" w:rsidRDefault="007704B2" w:rsidP="007A76BF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9.</w:t>
            </w:r>
          </w:p>
        </w:tc>
        <w:tc>
          <w:tcPr>
            <w:tcW w:w="6564" w:type="dxa"/>
          </w:tcPr>
          <w:p w:rsidR="007704B2" w:rsidRPr="003B30B9" w:rsidRDefault="001B179E" w:rsidP="00623550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Political parties</w:t>
            </w:r>
          </w:p>
        </w:tc>
        <w:tc>
          <w:tcPr>
            <w:tcW w:w="1861" w:type="dxa"/>
            <w:vAlign w:val="center"/>
          </w:tcPr>
          <w:p w:rsidR="007704B2" w:rsidRPr="003B30B9" w:rsidRDefault="00BB5DED" w:rsidP="00BB5DE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              </w:t>
            </w:r>
            <w:r w:rsidR="00190709"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44</w:t>
            </w:r>
          </w:p>
        </w:tc>
      </w:tr>
      <w:tr w:rsidR="00CA6F21" w:rsidRPr="003B30B9" w:rsidTr="00595FAA">
        <w:trPr>
          <w:trHeight w:val="108"/>
          <w:jc w:val="center"/>
        </w:trPr>
        <w:tc>
          <w:tcPr>
            <w:tcW w:w="1057" w:type="dxa"/>
            <w:vAlign w:val="center"/>
          </w:tcPr>
          <w:p w:rsidR="007704B2" w:rsidRPr="003B30B9" w:rsidRDefault="007704B2" w:rsidP="007A76BF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10.</w:t>
            </w:r>
          </w:p>
        </w:tc>
        <w:tc>
          <w:tcPr>
            <w:tcW w:w="6564" w:type="dxa"/>
          </w:tcPr>
          <w:p w:rsidR="007704B2" w:rsidRPr="003B30B9" w:rsidRDefault="001B179E" w:rsidP="00623550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Independent Members of the Parliament</w:t>
            </w:r>
          </w:p>
        </w:tc>
        <w:tc>
          <w:tcPr>
            <w:tcW w:w="1861" w:type="dxa"/>
            <w:vAlign w:val="center"/>
          </w:tcPr>
          <w:p w:rsidR="007704B2" w:rsidRPr="003B30B9" w:rsidRDefault="00BB5DED" w:rsidP="00BB5DE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                </w:t>
            </w:r>
            <w:r w:rsidR="00190709"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6</w:t>
            </w:r>
          </w:p>
        </w:tc>
      </w:tr>
      <w:tr w:rsidR="00CA6F21" w:rsidRPr="003B30B9" w:rsidTr="00595FAA">
        <w:trPr>
          <w:trHeight w:val="108"/>
          <w:jc w:val="center"/>
        </w:trPr>
        <w:tc>
          <w:tcPr>
            <w:tcW w:w="1057" w:type="dxa"/>
            <w:shd w:val="clear" w:color="auto" w:fill="D9D9D9" w:themeFill="background1" w:themeFillShade="D9"/>
          </w:tcPr>
          <w:p w:rsidR="007704B2" w:rsidRPr="003B30B9" w:rsidRDefault="007704B2" w:rsidP="00F05B78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II.</w:t>
            </w:r>
          </w:p>
        </w:tc>
        <w:tc>
          <w:tcPr>
            <w:tcW w:w="6564" w:type="dxa"/>
            <w:shd w:val="clear" w:color="auto" w:fill="D9D9D9" w:themeFill="background1" w:themeFillShade="D9"/>
          </w:tcPr>
          <w:p w:rsidR="007704B2" w:rsidRPr="003B30B9" w:rsidRDefault="003B30B9" w:rsidP="00623550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Performanc</w:t>
            </w:r>
            <w:r w:rsidR="001B179E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e</w:t>
            </w:r>
            <w:r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audit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:rsidR="007704B2" w:rsidRPr="003B30B9" w:rsidRDefault="00BB5DED" w:rsidP="00BB5DE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              </w:t>
            </w:r>
            <w:r w:rsidR="00190709"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36</w:t>
            </w:r>
          </w:p>
        </w:tc>
      </w:tr>
      <w:tr w:rsidR="00CA6F21" w:rsidRPr="003B30B9" w:rsidTr="00595FAA">
        <w:trPr>
          <w:trHeight w:val="108"/>
          <w:jc w:val="center"/>
        </w:trPr>
        <w:tc>
          <w:tcPr>
            <w:tcW w:w="1057" w:type="dxa"/>
            <w:vAlign w:val="center"/>
          </w:tcPr>
          <w:p w:rsidR="007704B2" w:rsidRPr="003B30B9" w:rsidRDefault="007704B2" w:rsidP="007A76BF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1.</w:t>
            </w:r>
          </w:p>
        </w:tc>
        <w:tc>
          <w:tcPr>
            <w:tcW w:w="6564" w:type="dxa"/>
          </w:tcPr>
          <w:p w:rsidR="007704B2" w:rsidRPr="00261323" w:rsidRDefault="003A6F16" w:rsidP="003A6F1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Preparedness</w:t>
            </w:r>
            <w:r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of the </w:t>
            </w:r>
            <w:r w:rsidR="00595FAA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Republic of Croatia</w:t>
            </w:r>
            <w:bookmarkStart w:id="0" w:name="_GoBack"/>
            <w:bookmarkEnd w:id="0"/>
            <w:r w:rsidR="00595FAA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</w:t>
            </w:r>
            <w:r w:rsidR="001B179E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</w:t>
            </w:r>
            <w:r w:rsidR="00595FAA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for</w:t>
            </w:r>
            <w:r w:rsidR="0010566C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the</w:t>
            </w:r>
            <w:r w:rsidR="001B179E" w:rsidRPr="001B179E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impleme</w:t>
            </w:r>
            <w:r w:rsidR="001B179E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nt</w:t>
            </w:r>
            <w:r w:rsidR="00595FAA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ation of</w:t>
            </w:r>
            <w:r w:rsidR="001B179E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the</w:t>
            </w:r>
            <w:r w:rsidR="001B179E" w:rsidRPr="001B179E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Sustainable</w:t>
            </w:r>
            <w:r w:rsidR="001B179E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Development </w:t>
            </w:r>
            <w:r w:rsidR="00294B15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Goals </w:t>
            </w:r>
            <w:r w:rsidR="00B57DE2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– Agenda 2030</w:t>
            </w:r>
          </w:p>
        </w:tc>
        <w:tc>
          <w:tcPr>
            <w:tcW w:w="1861" w:type="dxa"/>
            <w:vAlign w:val="center"/>
          </w:tcPr>
          <w:p w:rsidR="007704B2" w:rsidRPr="003B30B9" w:rsidRDefault="00BB5DED" w:rsidP="000D2B50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</w:t>
            </w:r>
            <w:r w:rsidR="007A76BF"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 </w:t>
            </w:r>
            <w:r w:rsidR="00190709"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1</w:t>
            </w:r>
          </w:p>
        </w:tc>
      </w:tr>
      <w:tr w:rsidR="00CA6F21" w:rsidRPr="003B30B9" w:rsidTr="00595FAA">
        <w:trPr>
          <w:trHeight w:val="108"/>
          <w:jc w:val="center"/>
        </w:trPr>
        <w:tc>
          <w:tcPr>
            <w:tcW w:w="1057" w:type="dxa"/>
            <w:vAlign w:val="center"/>
          </w:tcPr>
          <w:p w:rsidR="001754F5" w:rsidRPr="003B30B9" w:rsidRDefault="001754F5" w:rsidP="007A76BF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2.</w:t>
            </w:r>
          </w:p>
        </w:tc>
        <w:tc>
          <w:tcPr>
            <w:tcW w:w="6564" w:type="dxa"/>
          </w:tcPr>
          <w:p w:rsidR="001754F5" w:rsidRPr="00595FAA" w:rsidRDefault="00595FAA" w:rsidP="007A76BF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95FAA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Treatment of special categories of waste</w:t>
            </w:r>
          </w:p>
        </w:tc>
        <w:tc>
          <w:tcPr>
            <w:tcW w:w="1861" w:type="dxa"/>
            <w:vAlign w:val="center"/>
          </w:tcPr>
          <w:p w:rsidR="001754F5" w:rsidRPr="003B30B9" w:rsidRDefault="00BB5DED" w:rsidP="00BB5DE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              </w:t>
            </w:r>
            <w:r w:rsidR="00190709"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12</w:t>
            </w:r>
          </w:p>
        </w:tc>
      </w:tr>
      <w:tr w:rsidR="00CA6F21" w:rsidRPr="003B30B9" w:rsidTr="00595FAA">
        <w:trPr>
          <w:trHeight w:val="108"/>
          <w:jc w:val="center"/>
        </w:trPr>
        <w:tc>
          <w:tcPr>
            <w:tcW w:w="1057" w:type="dxa"/>
            <w:vAlign w:val="center"/>
          </w:tcPr>
          <w:p w:rsidR="001754F5" w:rsidRPr="003B30B9" w:rsidRDefault="001754F5" w:rsidP="007A76BF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3.</w:t>
            </w:r>
          </w:p>
        </w:tc>
        <w:tc>
          <w:tcPr>
            <w:tcW w:w="6564" w:type="dxa"/>
          </w:tcPr>
          <w:p w:rsidR="001754F5" w:rsidRPr="003B30B9" w:rsidRDefault="00595FAA" w:rsidP="00595FA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595FAA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Sale of shares and business stakes in a state-owned company</w:t>
            </w:r>
          </w:p>
        </w:tc>
        <w:tc>
          <w:tcPr>
            <w:tcW w:w="1861" w:type="dxa"/>
            <w:vAlign w:val="center"/>
          </w:tcPr>
          <w:p w:rsidR="001754F5" w:rsidRPr="003B30B9" w:rsidRDefault="00BB5DED" w:rsidP="00BB5DE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                </w:t>
            </w:r>
            <w:r w:rsidR="00190709"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1</w:t>
            </w:r>
          </w:p>
        </w:tc>
      </w:tr>
      <w:tr w:rsidR="00CA6F21" w:rsidRPr="003B30B9" w:rsidTr="00595FAA">
        <w:trPr>
          <w:trHeight w:val="108"/>
          <w:jc w:val="center"/>
        </w:trPr>
        <w:tc>
          <w:tcPr>
            <w:tcW w:w="1057" w:type="dxa"/>
            <w:vAlign w:val="center"/>
          </w:tcPr>
          <w:p w:rsidR="001754F5" w:rsidRPr="003B30B9" w:rsidRDefault="001754F5" w:rsidP="007A76BF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4.</w:t>
            </w:r>
          </w:p>
        </w:tc>
        <w:tc>
          <w:tcPr>
            <w:tcW w:w="6564" w:type="dxa"/>
          </w:tcPr>
          <w:p w:rsidR="001754F5" w:rsidRPr="00595FAA" w:rsidRDefault="00595FAA" w:rsidP="00ED0AAC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95FAA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Implement</w:t>
            </w:r>
            <w:r w:rsidR="00261323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ation</w:t>
            </w:r>
            <w:r w:rsidRPr="00595FAA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</w:t>
            </w:r>
            <w:r w:rsidR="00ED0AAC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of</w:t>
            </w:r>
            <w:r w:rsidRPr="00595FAA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health development strategy and </w:t>
            </w:r>
            <w:r w:rsidR="00ED0AAC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m</w:t>
            </w:r>
            <w:r w:rsidR="00ED0AAC" w:rsidRPr="00ED0AAC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anagement of </w:t>
            </w:r>
            <w:r w:rsidR="00ED0AAC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the MRI</w:t>
            </w:r>
            <w:r w:rsidR="00ED0AAC" w:rsidRPr="00ED0AAC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waiting lists procedures</w:t>
            </w:r>
          </w:p>
        </w:tc>
        <w:tc>
          <w:tcPr>
            <w:tcW w:w="1861" w:type="dxa"/>
            <w:vAlign w:val="center"/>
          </w:tcPr>
          <w:p w:rsidR="001754F5" w:rsidRPr="003B30B9" w:rsidRDefault="00BB5DED" w:rsidP="00BB5DE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              </w:t>
            </w:r>
            <w:r w:rsidR="00190709"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21</w:t>
            </w:r>
          </w:p>
        </w:tc>
      </w:tr>
      <w:tr w:rsidR="00CA6F21" w:rsidRPr="003B30B9" w:rsidTr="00595FAA">
        <w:trPr>
          <w:trHeight w:val="245"/>
          <w:jc w:val="center"/>
        </w:trPr>
        <w:tc>
          <w:tcPr>
            <w:tcW w:w="1057" w:type="dxa"/>
            <w:vAlign w:val="center"/>
          </w:tcPr>
          <w:p w:rsidR="001754F5" w:rsidRPr="003B30B9" w:rsidRDefault="001754F5" w:rsidP="007A76BF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5.</w:t>
            </w:r>
          </w:p>
        </w:tc>
        <w:tc>
          <w:tcPr>
            <w:tcW w:w="6564" w:type="dxa"/>
          </w:tcPr>
          <w:p w:rsidR="001754F5" w:rsidRPr="003B30B9" w:rsidRDefault="00595FAA" w:rsidP="00595FA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595FAA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Management of sudden pollution interventions in the Adriatic Sea</w:t>
            </w:r>
          </w:p>
        </w:tc>
        <w:tc>
          <w:tcPr>
            <w:tcW w:w="1861" w:type="dxa"/>
            <w:vAlign w:val="center"/>
          </w:tcPr>
          <w:p w:rsidR="001754F5" w:rsidRPr="003B30B9" w:rsidRDefault="00BB5DED" w:rsidP="00BB5DE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                </w:t>
            </w:r>
            <w:r w:rsidR="00190709"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1</w:t>
            </w:r>
          </w:p>
        </w:tc>
      </w:tr>
      <w:tr w:rsidR="00CA6F21" w:rsidRPr="003B30B9" w:rsidTr="00595FAA">
        <w:trPr>
          <w:trHeight w:val="189"/>
          <w:jc w:val="center"/>
        </w:trPr>
        <w:tc>
          <w:tcPr>
            <w:tcW w:w="1057" w:type="dxa"/>
            <w:shd w:val="clear" w:color="auto" w:fill="D9D9D9" w:themeFill="background1" w:themeFillShade="D9"/>
          </w:tcPr>
          <w:p w:rsidR="001754F5" w:rsidRPr="003B30B9" w:rsidRDefault="001754F5" w:rsidP="00F05B78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III.</w:t>
            </w:r>
          </w:p>
        </w:tc>
        <w:tc>
          <w:tcPr>
            <w:tcW w:w="6564" w:type="dxa"/>
            <w:shd w:val="clear" w:color="auto" w:fill="D9D9D9" w:themeFill="background1" w:themeFillShade="D9"/>
          </w:tcPr>
          <w:p w:rsidR="001754F5" w:rsidRPr="003B30B9" w:rsidRDefault="003B30B9" w:rsidP="00623550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Compliance audit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:rsidR="001754F5" w:rsidRPr="003B30B9" w:rsidRDefault="00BB5DED" w:rsidP="00BB5DE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                </w:t>
            </w:r>
            <w:r w:rsidR="00190709"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3</w:t>
            </w:r>
          </w:p>
        </w:tc>
      </w:tr>
      <w:tr w:rsidR="00CA6F21" w:rsidRPr="003B30B9" w:rsidTr="00595FAA">
        <w:trPr>
          <w:trHeight w:val="108"/>
          <w:jc w:val="center"/>
        </w:trPr>
        <w:tc>
          <w:tcPr>
            <w:tcW w:w="1057" w:type="dxa"/>
            <w:shd w:val="clear" w:color="auto" w:fill="auto"/>
            <w:vAlign w:val="center"/>
          </w:tcPr>
          <w:p w:rsidR="001754F5" w:rsidRPr="003B30B9" w:rsidRDefault="001754F5" w:rsidP="007A76BF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1.</w:t>
            </w:r>
          </w:p>
        </w:tc>
        <w:tc>
          <w:tcPr>
            <w:tcW w:w="6564" w:type="dxa"/>
            <w:shd w:val="clear" w:color="auto" w:fill="auto"/>
          </w:tcPr>
          <w:p w:rsidR="001754F5" w:rsidRPr="003B30B9" w:rsidRDefault="00595FAA" w:rsidP="00595FAA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595FAA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Financial institution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1754F5" w:rsidRPr="003B30B9" w:rsidRDefault="00BB5DED" w:rsidP="00BB5DE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                </w:t>
            </w:r>
            <w:r w:rsidR="00190709"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1</w:t>
            </w:r>
          </w:p>
        </w:tc>
      </w:tr>
      <w:tr w:rsidR="00CA6F21" w:rsidRPr="003B30B9" w:rsidTr="00595FAA">
        <w:trPr>
          <w:trHeight w:val="108"/>
          <w:jc w:val="center"/>
        </w:trPr>
        <w:tc>
          <w:tcPr>
            <w:tcW w:w="1057" w:type="dxa"/>
            <w:shd w:val="clear" w:color="auto" w:fill="auto"/>
            <w:vAlign w:val="center"/>
          </w:tcPr>
          <w:p w:rsidR="001754F5" w:rsidRPr="003B30B9" w:rsidRDefault="001754F5" w:rsidP="007A76BF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2.</w:t>
            </w:r>
          </w:p>
        </w:tc>
        <w:tc>
          <w:tcPr>
            <w:tcW w:w="6564" w:type="dxa"/>
            <w:shd w:val="clear" w:color="auto" w:fill="auto"/>
          </w:tcPr>
          <w:p w:rsidR="001754F5" w:rsidRPr="003B30B9" w:rsidRDefault="00595FAA" w:rsidP="00595FAA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595FAA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State-owned companies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1754F5" w:rsidRPr="003B30B9" w:rsidRDefault="00BB5DED" w:rsidP="00BB5DE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                 </w:t>
            </w:r>
            <w:r w:rsidR="00190709" w:rsidRPr="003B30B9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2</w:t>
            </w:r>
          </w:p>
        </w:tc>
      </w:tr>
    </w:tbl>
    <w:p w:rsidR="004D5E05" w:rsidRPr="003B30B9" w:rsidRDefault="004D5E05" w:rsidP="00490E86">
      <w:pPr>
        <w:rPr>
          <w:rFonts w:asciiTheme="minorHAnsi" w:hAnsiTheme="minorHAnsi"/>
          <w:sz w:val="22"/>
          <w:lang w:val="en-GB"/>
        </w:rPr>
      </w:pPr>
    </w:p>
    <w:p w:rsidR="00490E86" w:rsidRPr="003B30B9" w:rsidRDefault="00490E86" w:rsidP="00490E86">
      <w:pPr>
        <w:rPr>
          <w:rFonts w:asciiTheme="minorHAnsi" w:hAnsiTheme="minorHAnsi"/>
          <w:sz w:val="22"/>
          <w:lang w:val="en-GB"/>
        </w:rPr>
      </w:pPr>
    </w:p>
    <w:p w:rsidR="00490E86" w:rsidRPr="003B30B9" w:rsidRDefault="00490E86" w:rsidP="00490E86">
      <w:pPr>
        <w:autoSpaceDE w:val="0"/>
        <w:autoSpaceDN w:val="0"/>
        <w:adjustRightInd w:val="0"/>
        <w:rPr>
          <w:rFonts w:cs="Arial"/>
          <w:szCs w:val="24"/>
          <w:lang w:val="en-GB"/>
        </w:rPr>
      </w:pPr>
    </w:p>
    <w:p w:rsidR="00490E86" w:rsidRPr="003B30B9" w:rsidRDefault="00595FAA" w:rsidP="00490E86">
      <w:pPr>
        <w:autoSpaceDE w:val="0"/>
        <w:autoSpaceDN w:val="0"/>
        <w:adjustRightInd w:val="0"/>
        <w:ind w:left="5664"/>
        <w:rPr>
          <w:rFonts w:cs="Arial"/>
          <w:sz w:val="23"/>
          <w:szCs w:val="23"/>
          <w:lang w:val="en-GB"/>
        </w:rPr>
      </w:pPr>
      <w:r>
        <w:rPr>
          <w:rFonts w:cs="Arial"/>
          <w:sz w:val="23"/>
          <w:szCs w:val="23"/>
          <w:lang w:val="en-GB"/>
        </w:rPr>
        <w:t>AUDITOR GENERAL</w:t>
      </w:r>
    </w:p>
    <w:p w:rsidR="00490E86" w:rsidRPr="003B30B9" w:rsidRDefault="00490E86" w:rsidP="00490E86">
      <w:pPr>
        <w:autoSpaceDE w:val="0"/>
        <w:autoSpaceDN w:val="0"/>
        <w:adjustRightInd w:val="0"/>
        <w:ind w:left="5664"/>
        <w:rPr>
          <w:rFonts w:cs="Arial"/>
          <w:sz w:val="23"/>
          <w:szCs w:val="23"/>
          <w:lang w:val="en-GB"/>
        </w:rPr>
      </w:pPr>
      <w:proofErr w:type="spellStart"/>
      <w:r w:rsidRPr="003B30B9">
        <w:rPr>
          <w:rFonts w:cs="Arial"/>
          <w:sz w:val="23"/>
          <w:szCs w:val="23"/>
          <w:lang w:val="en-GB"/>
        </w:rPr>
        <w:t>mr</w:t>
      </w:r>
      <w:proofErr w:type="spellEnd"/>
      <w:r w:rsidRPr="003B30B9">
        <w:rPr>
          <w:rFonts w:cs="Arial"/>
          <w:sz w:val="23"/>
          <w:szCs w:val="23"/>
          <w:lang w:val="en-GB"/>
        </w:rPr>
        <w:t xml:space="preserve">. Ivan Klešić, dipl. </w:t>
      </w:r>
      <w:proofErr w:type="spellStart"/>
      <w:r w:rsidRPr="003B30B9">
        <w:rPr>
          <w:rFonts w:cs="Arial"/>
          <w:sz w:val="23"/>
          <w:szCs w:val="23"/>
          <w:lang w:val="en-GB"/>
        </w:rPr>
        <w:t>oec</w:t>
      </w:r>
      <w:proofErr w:type="spellEnd"/>
      <w:r w:rsidRPr="003B30B9">
        <w:rPr>
          <w:rFonts w:cs="Arial"/>
          <w:sz w:val="23"/>
          <w:szCs w:val="23"/>
          <w:lang w:val="en-GB"/>
        </w:rPr>
        <w:t>., v.</w:t>
      </w:r>
      <w:r w:rsidR="00B9013F" w:rsidRPr="003B30B9">
        <w:rPr>
          <w:rFonts w:cs="Arial"/>
          <w:sz w:val="23"/>
          <w:szCs w:val="23"/>
          <w:lang w:val="en-GB"/>
        </w:rPr>
        <w:t xml:space="preserve"> </w:t>
      </w:r>
      <w:r w:rsidRPr="003B30B9">
        <w:rPr>
          <w:rFonts w:cs="Arial"/>
          <w:sz w:val="23"/>
          <w:szCs w:val="23"/>
          <w:lang w:val="en-GB"/>
        </w:rPr>
        <w:t>r.</w:t>
      </w:r>
    </w:p>
    <w:sectPr w:rsidR="00490E86" w:rsidRPr="003B30B9" w:rsidSect="004F6EF6">
      <w:pgSz w:w="11906" w:h="16838" w:code="9"/>
      <w:pgMar w:top="1134" w:right="1417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78"/>
    <w:rsid w:val="000D2B50"/>
    <w:rsid w:val="0010566C"/>
    <w:rsid w:val="00114957"/>
    <w:rsid w:val="0012379D"/>
    <w:rsid w:val="001754F5"/>
    <w:rsid w:val="00190709"/>
    <w:rsid w:val="001B179E"/>
    <w:rsid w:val="001F306E"/>
    <w:rsid w:val="002308B1"/>
    <w:rsid w:val="00261323"/>
    <w:rsid w:val="00294B15"/>
    <w:rsid w:val="003578CB"/>
    <w:rsid w:val="003A6F16"/>
    <w:rsid w:val="003B30B9"/>
    <w:rsid w:val="003E71B3"/>
    <w:rsid w:val="00412CCC"/>
    <w:rsid w:val="00490E86"/>
    <w:rsid w:val="004D5E05"/>
    <w:rsid w:val="004F460E"/>
    <w:rsid w:val="004F6EF6"/>
    <w:rsid w:val="00530216"/>
    <w:rsid w:val="00595FAA"/>
    <w:rsid w:val="00623550"/>
    <w:rsid w:val="006F2D6E"/>
    <w:rsid w:val="007704B2"/>
    <w:rsid w:val="00782CF8"/>
    <w:rsid w:val="007A76BF"/>
    <w:rsid w:val="007A7D8B"/>
    <w:rsid w:val="007E6DB6"/>
    <w:rsid w:val="008063E5"/>
    <w:rsid w:val="00885206"/>
    <w:rsid w:val="008E4FC6"/>
    <w:rsid w:val="009114C8"/>
    <w:rsid w:val="00A21CBE"/>
    <w:rsid w:val="00AA59BE"/>
    <w:rsid w:val="00AE22A6"/>
    <w:rsid w:val="00B25DC8"/>
    <w:rsid w:val="00B57DE2"/>
    <w:rsid w:val="00B9013F"/>
    <w:rsid w:val="00B914C4"/>
    <w:rsid w:val="00BB5DED"/>
    <w:rsid w:val="00CA461E"/>
    <w:rsid w:val="00CA6F21"/>
    <w:rsid w:val="00D22C7B"/>
    <w:rsid w:val="00D40C07"/>
    <w:rsid w:val="00D90138"/>
    <w:rsid w:val="00DF5FE4"/>
    <w:rsid w:val="00E41B90"/>
    <w:rsid w:val="00E72317"/>
    <w:rsid w:val="00ED0AAC"/>
    <w:rsid w:val="00EE6749"/>
    <w:rsid w:val="00EF45B8"/>
    <w:rsid w:val="00F0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6B6C"/>
  <w15:docId w15:val="{81B31B30-AA0A-4460-82BA-9462AE2E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05B78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0E8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0E8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E7231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7231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7231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7231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72317"/>
    <w:rPr>
      <w:b/>
      <w:bCs/>
      <w:sz w:val="20"/>
      <w:szCs w:val="20"/>
    </w:rPr>
  </w:style>
  <w:style w:type="paragraph" w:customStyle="1" w:styleId="mt-translation">
    <w:name w:val="mt-translation"/>
    <w:basedOn w:val="Normal"/>
    <w:rsid w:val="003B30B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phrase">
    <w:name w:val="phrase"/>
    <w:basedOn w:val="Zadanifontodlomka"/>
    <w:rsid w:val="003B30B9"/>
  </w:style>
  <w:style w:type="character" w:customStyle="1" w:styleId="word">
    <w:name w:val="word"/>
    <w:basedOn w:val="Zadanifontodlomka"/>
    <w:rsid w:val="003B3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12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8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3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C61FE-C569-46C2-BA65-472212F10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 Morić</dc:creator>
  <cp:lastModifiedBy>lidija pernar</cp:lastModifiedBy>
  <cp:revision>2</cp:revision>
  <cp:lastPrinted>2020-10-06T10:49:00Z</cp:lastPrinted>
  <dcterms:created xsi:type="dcterms:W3CDTF">2020-10-07T05:51:00Z</dcterms:created>
  <dcterms:modified xsi:type="dcterms:W3CDTF">2020-10-07T05:51:00Z</dcterms:modified>
</cp:coreProperties>
</file>